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u w:val="single"/>
        </w:rPr>
      </w:pPr>
      <w:r>
        <w:rPr>
          <w:b/>
          <w:u w:val="single"/>
        </w:rPr>
        <w:t>AGREEMENT</w:t>
      </w:r>
    </w:p>
    <w:p>
      <w:pPr>
        <w:jc w:val="center"/>
        <w:rPr>
          <w:rFonts w:hint="default"/>
          <w:color w:val="000000" w:themeColor="text1"/>
          <w:lang w:val="en-US"/>
          <w14:textFill>
            <w14:solidFill>
              <w14:schemeClr w14:val="tx1"/>
            </w14:solidFill>
          </w14:textFill>
        </w:rPr>
      </w:pPr>
      <w:r>
        <w:rPr>
          <w:color w:val="000000" w:themeColor="text1"/>
          <w14:textFill>
            <w14:solidFill>
              <w14:schemeClr w14:val="tx1"/>
            </w14:solidFill>
          </w14:textFill>
        </w:rPr>
        <w:t>This Contract (“The Agreement”) is made on 01.</w:t>
      </w:r>
      <w:r>
        <w:rPr>
          <w:rFonts w:hint="default"/>
          <w:color w:val="000000" w:themeColor="text1"/>
          <w:lang w:val="en-US"/>
          <w14:textFill>
            <w14:solidFill>
              <w14:schemeClr w14:val="tx1"/>
            </w14:solidFill>
          </w14:textFill>
        </w:rPr>
        <w:t>10</w:t>
      </w:r>
      <w:r>
        <w:rPr>
          <w:color w:val="000000" w:themeColor="text1"/>
          <w14:textFill>
            <w14:solidFill>
              <w14:schemeClr w14:val="tx1"/>
            </w14:solidFill>
          </w14:textFill>
        </w:rPr>
        <w:t>.20</w:t>
      </w:r>
      <w:r>
        <w:rPr>
          <w:rFonts w:hint="default"/>
          <w:color w:val="000000" w:themeColor="text1"/>
          <w:lang w:val="en-US"/>
          <w14:textFill>
            <w14:solidFill>
              <w14:schemeClr w14:val="tx1"/>
            </w14:solidFill>
          </w14:textFill>
        </w:rPr>
        <w:t>20</w:t>
      </w:r>
    </w:p>
    <w:p>
      <w:pPr>
        <w:jc w:val="center"/>
        <w:rPr>
          <w:b/>
        </w:rPr>
      </w:pPr>
      <w:r>
        <w:rPr>
          <w:b/>
        </w:rPr>
        <w:t>By and between:</w:t>
      </w:r>
    </w:p>
    <w:p>
      <w:pPr>
        <w:pStyle w:val="6"/>
        <w:numPr>
          <w:ilvl w:val="0"/>
          <w:numId w:val="1"/>
        </w:numPr>
      </w:pPr>
      <w:r>
        <w:rPr>
          <w:rFonts w:hint="default"/>
          <w:b/>
          <w:bCs/>
          <w:lang w:val="en-US"/>
        </w:rPr>
        <w:t>Sandhyashi Neuro Panchkarma</w:t>
      </w:r>
      <w:r>
        <w:t xml:space="preserve"> a </w:t>
      </w:r>
      <w:r>
        <w:rPr>
          <w:rFonts w:hint="default"/>
        </w:rPr>
        <w:t>Proprietor</w:t>
      </w:r>
      <w:r>
        <w:rPr>
          <w:rFonts w:hint="default"/>
          <w:lang w:val="en-US"/>
        </w:rPr>
        <w:t xml:space="preserve"> of Dr Rajni Gupta</w:t>
      </w:r>
      <w:r>
        <w:t xml:space="preserve">  at</w:t>
      </w:r>
      <w:r>
        <w:rPr>
          <w:rFonts w:hint="default"/>
        </w:rPr>
        <w:t xml:space="preserve"> </w:t>
      </w:r>
      <w:r>
        <w:rPr>
          <w:rFonts w:hint="default"/>
          <w:b/>
          <w:bCs/>
        </w:rPr>
        <w:t>(</w:t>
      </w:r>
      <w:r>
        <w:rPr>
          <w:rFonts w:hint="default"/>
          <w:b/>
          <w:bCs/>
          <w:lang w:val="en-US"/>
        </w:rPr>
        <w:t>BF-45,Near Canara Bank,Shalimar Bagh,Delhi-110088</w:t>
      </w:r>
      <w:r>
        <w:rPr>
          <w:rFonts w:hint="default"/>
        </w:rPr>
        <w:t>)</w:t>
      </w:r>
      <w:r>
        <w:t xml:space="preserve"> (hereinafter called “the First Party”) of the ONE PART, through its authorized signatory,</w:t>
      </w:r>
    </w:p>
    <w:p>
      <w:pPr>
        <w:pStyle w:val="6"/>
        <w:rPr>
          <w:rFonts w:hint="default"/>
          <w:lang w:val="en-US"/>
        </w:rPr>
      </w:pPr>
      <w:r>
        <w:rPr>
          <w:rFonts w:hint="default"/>
          <w:lang w:val="en-US"/>
        </w:rPr>
        <w:t xml:space="preserve"> </w:t>
      </w:r>
    </w:p>
    <w:p>
      <w:pPr>
        <w:pStyle w:val="6"/>
        <w:jc w:val="center"/>
        <w:rPr>
          <w:b/>
        </w:rPr>
      </w:pPr>
      <w:r>
        <w:rPr>
          <w:b/>
        </w:rPr>
        <w:t>And</w:t>
      </w:r>
    </w:p>
    <w:p>
      <w:pPr>
        <w:pStyle w:val="6"/>
        <w:jc w:val="center"/>
        <w:rPr>
          <w:b/>
        </w:rPr>
      </w:pPr>
    </w:p>
    <w:p>
      <w:pPr>
        <w:pStyle w:val="6"/>
        <w:numPr>
          <w:ilvl w:val="0"/>
          <w:numId w:val="1"/>
        </w:numPr>
      </w:pPr>
      <w:r>
        <w:rPr>
          <w:rFonts w:hint="default"/>
          <w:b/>
          <w:bCs/>
          <w:lang w:val="en-US"/>
        </w:rPr>
        <w:t xml:space="preserve"> Sapna Dry Cleans</w:t>
      </w:r>
      <w:r>
        <w:rPr>
          <w:rFonts w:hint="default"/>
          <w:lang w:val="en-US"/>
        </w:rPr>
        <w:t xml:space="preserve"> </w:t>
      </w:r>
      <w:r>
        <w:t>, a having its office at</w:t>
      </w:r>
      <w:r>
        <w:rPr>
          <w:rFonts w:hint="default"/>
        </w:rPr>
        <w:t xml:space="preserve"> </w:t>
      </w:r>
      <w:r>
        <w:rPr>
          <w:b/>
          <w:bCs/>
        </w:rPr>
        <w:t xml:space="preserve"> </w:t>
      </w:r>
      <w:r>
        <w:rPr>
          <w:rFonts w:ascii="Arial" w:hAnsi="Arial" w:eastAsia="SimSun" w:cs="Arial"/>
          <w:b/>
          <w:bCs/>
          <w:i w:val="0"/>
          <w:caps w:val="0"/>
          <w:color w:val="202124"/>
          <w:spacing w:val="0"/>
          <w:sz w:val="20"/>
          <w:szCs w:val="20"/>
          <w:shd w:val="clear" w:fill="FFFFFF"/>
        </w:rPr>
        <w:t>Haiderpur,Ambedkar Nagar,Haiderpur, Shalimar Main Road, Gobind Mohalla, Shalimar Bagh, Delhi, 110088</w:t>
      </w:r>
      <w:r>
        <w:rPr>
          <w:rFonts w:hint="default"/>
          <w:b/>
          <w:bCs/>
          <w:sz w:val="21"/>
          <w:szCs w:val="21"/>
        </w:rPr>
        <w:t>.</w:t>
      </w:r>
      <w:r>
        <w:t xml:space="preserve"> through its Authorised Signatory (hereinafter called the Second Party) of the other part. </w:t>
      </w:r>
    </w:p>
    <w:p>
      <w:r>
        <w:t>AND whereas the second party is in the business of providing</w:t>
      </w:r>
      <w:r>
        <w:rPr>
          <w:rFonts w:hint="default"/>
          <w:lang w:val="en-US"/>
        </w:rPr>
        <w:t xml:space="preserve"> Laundry</w:t>
      </w:r>
      <w:r>
        <w:t xml:space="preserve"> Services, on the basis of and as per the requirements of The First Party from time to time (hereinafter referred to as Facilities Management Services).</w:t>
      </w:r>
    </w:p>
    <w:p>
      <w:r>
        <w:t xml:space="preserve">AND whereas The First Party has requisitioned the </w:t>
      </w:r>
      <w:r>
        <w:rPr>
          <w:rFonts w:hint="default"/>
          <w:lang w:val="en-US"/>
        </w:rPr>
        <w:t>Laundry</w:t>
      </w:r>
      <w:r>
        <w:t xml:space="preserve"> Services and the Second Party has agreed to provide these services to the first Party as per Annexure-A in the manner and as per terms and conditions as specified herein below :-</w:t>
      </w:r>
    </w:p>
    <w:p>
      <w:pPr>
        <w:rPr>
          <w:color w:val="000000" w:themeColor="text1"/>
          <w14:textFill>
            <w14:solidFill>
              <w14:schemeClr w14:val="tx1"/>
            </w14:solidFill>
          </w14:textFill>
        </w:rPr>
      </w:pPr>
      <w:r>
        <w:t>NOW, THEREFORE</w:t>
      </w:r>
      <w:r>
        <w:rPr>
          <w:rFonts w:hint="default"/>
          <w:lang w:val="en-US"/>
        </w:rPr>
        <w:t>,</w:t>
      </w:r>
      <w:r>
        <w:rPr>
          <w:color w:val="000000" w:themeColor="text1"/>
          <w14:textFill>
            <w14:solidFill>
              <w14:schemeClr w14:val="tx1"/>
            </w14:solidFill>
          </w14:textFill>
        </w:rPr>
        <w:t xml:space="preserve"> in consideration of the rates payable to the Second Party and the services provided by the Second Party contained herein, the receipt and sufficiency of which are hereby acknowledged, the parties hereto agree as follows:</w:t>
      </w:r>
    </w:p>
    <w:p>
      <w:r>
        <w:t xml:space="preserve">This Agreement shall comprise of the following documents annexed herewith which shall be deemed to form to be read and construed as integral part of this Agreement and therefore interlinked to each other:- </w:t>
      </w:r>
    </w:p>
    <w:p>
      <w:r>
        <w:t xml:space="preserve">Annexure A – RATES SCHEDULE FOR SERVICES </w:t>
      </w:r>
    </w:p>
    <w:p>
      <w:r>
        <w:t>NOW THEREFORE, in consideration of the mutual covenants and contracts set forth herein, the parties hereto agree as follows:</w:t>
      </w:r>
    </w:p>
    <w:p>
      <w:pPr>
        <w:jc w:val="center"/>
        <w:rPr>
          <w:b/>
        </w:rPr>
      </w:pPr>
      <w:r>
        <w:rPr>
          <w:b/>
        </w:rPr>
        <w:t>Annexure A</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5"/>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jc w:val="center"/>
              <w:rPr>
                <w:b/>
              </w:rPr>
            </w:pPr>
            <w:r>
              <w:rPr>
                <w:rFonts w:hint="default"/>
                <w:b/>
              </w:rPr>
              <w:t>Laundry</w:t>
            </w:r>
          </w:p>
        </w:tc>
        <w:tc>
          <w:tcPr>
            <w:tcW w:w="4201" w:type="dxa"/>
          </w:tcPr>
          <w:p>
            <w:pPr>
              <w:spacing w:after="0" w:line="240" w:lineRule="auto"/>
              <w:jc w:val="center"/>
              <w:rPr>
                <w:b/>
              </w:rPr>
            </w:pPr>
            <w:r>
              <w:rPr>
                <w:b/>
              </w:rPr>
              <w:t>Rate (Rs.)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Towel big blood soaked</w:t>
            </w:r>
          </w:p>
        </w:tc>
        <w:tc>
          <w:tcPr>
            <w:tcW w:w="4201" w:type="dxa"/>
          </w:tcPr>
          <w:p>
            <w:pPr>
              <w:spacing w:after="0" w:line="240" w:lineRule="auto"/>
              <w:jc w:val="center"/>
            </w:pPr>
            <w:r>
              <w:rPr>
                <w:rFonts w:hint="default"/>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Towel big</w:t>
            </w:r>
            <w:r>
              <w:rPr>
                <w:rFonts w:hint="default"/>
                <w:lang w:val="en-US"/>
              </w:rPr>
              <w:t xml:space="preserve"> </w:t>
            </w:r>
            <w:r>
              <w:rPr>
                <w:rFonts w:hint="default"/>
              </w:rPr>
              <w:t>Non blood soaked</w:t>
            </w:r>
          </w:p>
        </w:tc>
        <w:tc>
          <w:tcPr>
            <w:tcW w:w="4201" w:type="dxa"/>
          </w:tcPr>
          <w:p>
            <w:pPr>
              <w:spacing w:after="0" w:line="240" w:lineRule="auto"/>
              <w:jc w:val="center"/>
            </w:pPr>
            <w:r>
              <w:rPr>
                <w:rFonts w:hint="default"/>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 xml:space="preserve">Bedsheet blood soaked </w:t>
            </w:r>
          </w:p>
        </w:tc>
        <w:tc>
          <w:tcPr>
            <w:tcW w:w="4201" w:type="dxa"/>
          </w:tcPr>
          <w:p>
            <w:pPr>
              <w:spacing w:after="0" w:line="240" w:lineRule="auto"/>
              <w:jc w:val="center"/>
            </w:pPr>
            <w:r>
              <w:rPr>
                <w:rFonts w:hint="default"/>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lang w:val="en-US"/>
              </w:rPr>
            </w:pPr>
            <w:r>
              <w:rPr>
                <w:rFonts w:hint="default"/>
              </w:rPr>
              <w:t xml:space="preserve">Bedsheet </w:t>
            </w:r>
            <w:r>
              <w:rPr>
                <w:rFonts w:hint="default"/>
                <w:lang w:val="en-US"/>
              </w:rPr>
              <w:t xml:space="preserve"> </w:t>
            </w:r>
            <w:r>
              <w:rPr>
                <w:rFonts w:hint="default"/>
              </w:rPr>
              <w:t xml:space="preserve">Non blood soaked </w:t>
            </w:r>
          </w:p>
        </w:tc>
        <w:tc>
          <w:tcPr>
            <w:tcW w:w="4201" w:type="dxa"/>
          </w:tcPr>
          <w:p>
            <w:pPr>
              <w:spacing w:after="0" w:line="240" w:lineRule="auto"/>
              <w:jc w:val="center"/>
            </w:pPr>
            <w:r>
              <w:rPr>
                <w:rFonts w:hint="default"/>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Small towel blood soaked</w:t>
            </w:r>
          </w:p>
        </w:tc>
        <w:tc>
          <w:tcPr>
            <w:tcW w:w="4201" w:type="dxa"/>
          </w:tcPr>
          <w:p>
            <w:pPr>
              <w:spacing w:after="0" w:line="240" w:lineRule="auto"/>
              <w:jc w:val="center"/>
            </w:pPr>
            <w:r>
              <w:rPr>
                <w:rFonts w:hint="default"/>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Small towel Non</w:t>
            </w:r>
            <w:r>
              <w:rPr>
                <w:rFonts w:hint="default"/>
                <w:lang w:val="en-US"/>
              </w:rPr>
              <w:t xml:space="preserve"> </w:t>
            </w:r>
            <w:r>
              <w:rPr>
                <w:rFonts w:hint="default"/>
              </w:rPr>
              <w:t>blood soaked</w:t>
            </w:r>
          </w:p>
        </w:tc>
        <w:tc>
          <w:tcPr>
            <w:tcW w:w="4201" w:type="dxa"/>
          </w:tcPr>
          <w:p>
            <w:pPr>
              <w:spacing w:after="0" w:line="240" w:lineRule="auto"/>
              <w:jc w:val="center"/>
            </w:pPr>
            <w:r>
              <w:rPr>
                <w:rFonts w:hint="default"/>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 xml:space="preserve">Gown blood soaked </w:t>
            </w:r>
          </w:p>
        </w:tc>
        <w:tc>
          <w:tcPr>
            <w:tcW w:w="4201" w:type="dxa"/>
          </w:tcPr>
          <w:p>
            <w:pPr>
              <w:spacing w:after="0" w:line="240" w:lineRule="auto"/>
              <w:jc w:val="center"/>
            </w:pPr>
            <w:r>
              <w:rPr>
                <w:rFonts w:hint="default"/>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pPr>
            <w:r>
              <w:rPr>
                <w:rFonts w:hint="default"/>
              </w:rPr>
              <w:t>Gown Non</w:t>
            </w:r>
            <w:r>
              <w:rPr>
                <w:rFonts w:hint="default"/>
                <w:lang w:val="en-US"/>
              </w:rPr>
              <w:t xml:space="preserve"> </w:t>
            </w:r>
            <w:r>
              <w:rPr>
                <w:rFonts w:hint="default"/>
              </w:rPr>
              <w:t xml:space="preserve">blood soaked </w:t>
            </w:r>
          </w:p>
        </w:tc>
        <w:tc>
          <w:tcPr>
            <w:tcW w:w="4201" w:type="dxa"/>
          </w:tcPr>
          <w:p>
            <w:pPr>
              <w:spacing w:after="0" w:line="240" w:lineRule="auto"/>
              <w:jc w:val="center"/>
            </w:pPr>
            <w:r>
              <w:rPr>
                <w:rFonts w:hint="default"/>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rPr>
            </w:pPr>
            <w:r>
              <w:rPr>
                <w:rFonts w:hint="default"/>
              </w:rPr>
              <w:t>Apron blood soaked</w:t>
            </w:r>
          </w:p>
        </w:tc>
        <w:tc>
          <w:tcPr>
            <w:tcW w:w="4201" w:type="dxa"/>
          </w:tcPr>
          <w:p>
            <w:pPr>
              <w:spacing w:after="0" w:line="240" w:lineRule="auto"/>
              <w:jc w:val="center"/>
            </w:pPr>
            <w:r>
              <w:rPr>
                <w:rFonts w:hint="default"/>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rPr>
            </w:pPr>
            <w:r>
              <w:rPr>
                <w:rFonts w:hint="default"/>
              </w:rPr>
              <w:t>Apron Non blood soaked</w:t>
            </w:r>
          </w:p>
        </w:tc>
        <w:tc>
          <w:tcPr>
            <w:tcW w:w="4201" w:type="dxa"/>
          </w:tcPr>
          <w:p>
            <w:pPr>
              <w:spacing w:after="0" w:line="240" w:lineRule="auto"/>
              <w:jc w:val="center"/>
            </w:pPr>
            <w:r>
              <w:rPr>
                <w:rFonts w:hint="default"/>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rPr>
            </w:pPr>
            <w:r>
              <w:rPr>
                <w:rFonts w:hint="default"/>
              </w:rPr>
              <w:t>Pillow cover blood soaked</w:t>
            </w:r>
          </w:p>
        </w:tc>
        <w:tc>
          <w:tcPr>
            <w:tcW w:w="4201" w:type="dxa"/>
          </w:tcPr>
          <w:p>
            <w:pPr>
              <w:spacing w:after="0" w:line="240" w:lineRule="auto"/>
              <w:jc w:val="center"/>
            </w:pPr>
            <w:r>
              <w:rPr>
                <w:rFonts w:hint="default"/>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rPr>
            </w:pPr>
            <w:r>
              <w:rPr>
                <w:rFonts w:hint="default"/>
              </w:rPr>
              <w:t>Pillow cover</w:t>
            </w:r>
            <w:r>
              <w:rPr>
                <w:rFonts w:hint="default"/>
                <w:lang w:val="en-US"/>
              </w:rPr>
              <w:t xml:space="preserve"> </w:t>
            </w:r>
            <w:r>
              <w:rPr>
                <w:rFonts w:hint="default"/>
              </w:rPr>
              <w:t>Non blood soaked</w:t>
            </w:r>
          </w:p>
        </w:tc>
        <w:tc>
          <w:tcPr>
            <w:tcW w:w="4201" w:type="dxa"/>
          </w:tcPr>
          <w:p>
            <w:pPr>
              <w:spacing w:after="0" w:line="240" w:lineRule="auto"/>
              <w:jc w:val="center"/>
            </w:pPr>
            <w:r>
              <w:rPr>
                <w:rFonts w:hint="default"/>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rPr>
            </w:pPr>
            <w:r>
              <w:rPr>
                <w:rFonts w:hint="default"/>
              </w:rPr>
              <w:t xml:space="preserve">Cutting sheet blood soaked </w:t>
            </w:r>
          </w:p>
        </w:tc>
        <w:tc>
          <w:tcPr>
            <w:tcW w:w="4201" w:type="dxa"/>
          </w:tcPr>
          <w:p>
            <w:pPr>
              <w:spacing w:after="0" w:line="240" w:lineRule="auto"/>
              <w:jc w:val="center"/>
            </w:pPr>
            <w:r>
              <w:rPr>
                <w:rFonts w:hint="default"/>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pPr>
              <w:spacing w:after="0" w:line="240" w:lineRule="auto"/>
              <w:rPr>
                <w:rFonts w:hint="default"/>
              </w:rPr>
            </w:pPr>
            <w:r>
              <w:rPr>
                <w:rFonts w:hint="default"/>
              </w:rPr>
              <w:t>Cutting sheet</w:t>
            </w:r>
            <w:r>
              <w:rPr>
                <w:rFonts w:hint="default"/>
                <w:lang w:val="en-US"/>
              </w:rPr>
              <w:t xml:space="preserve"> </w:t>
            </w:r>
            <w:r>
              <w:rPr>
                <w:rFonts w:hint="default"/>
              </w:rPr>
              <w:t>Non blood soaked</w:t>
            </w:r>
          </w:p>
        </w:tc>
        <w:tc>
          <w:tcPr>
            <w:tcW w:w="4201" w:type="dxa"/>
          </w:tcPr>
          <w:p>
            <w:pPr>
              <w:spacing w:after="0" w:line="240" w:lineRule="auto"/>
              <w:jc w:val="center"/>
            </w:pPr>
            <w:r>
              <w:rPr>
                <w:rFonts w:hint="default"/>
              </w:rPr>
              <w:t>200</w:t>
            </w:r>
          </w:p>
        </w:tc>
      </w:tr>
    </w:tbl>
    <w:p/>
    <w:p>
      <w:pPr>
        <w:rPr>
          <w:b/>
        </w:rPr>
      </w:pPr>
      <w:r>
        <w:rPr>
          <w:b/>
        </w:rPr>
        <w:t>NOW THIS DEED OF AGREEMENT WITHNESSES S UNDER:</w:t>
      </w:r>
    </w:p>
    <w:p>
      <w:pPr>
        <w:pStyle w:val="6"/>
        <w:numPr>
          <w:ilvl w:val="0"/>
          <w:numId w:val="2"/>
        </w:numPr>
        <w:rPr>
          <w:b/>
        </w:rPr>
      </w:pPr>
      <w:r>
        <w:rPr>
          <w:b/>
        </w:rPr>
        <w:t>SERVICES TO BE PROVIDED BY THE SECOND PARTY</w:t>
      </w:r>
      <w:r>
        <w:rPr>
          <w:rFonts w:hint="default"/>
          <w:b/>
          <w:lang w:val="en-US"/>
        </w:rPr>
        <w:t xml:space="preserve"> </w:t>
      </w:r>
    </w:p>
    <w:p>
      <w:pPr>
        <w:pStyle w:val="6"/>
        <w:numPr>
          <w:ilvl w:val="1"/>
          <w:numId w:val="2"/>
        </w:numPr>
      </w:pPr>
      <w:r>
        <w:t>The second Party shall provide the Facilities Management Services at the premises of the first Party at</w:t>
      </w:r>
      <w:r>
        <w:rPr>
          <w:rFonts w:hint="default"/>
          <w:lang w:val="en-US"/>
        </w:rPr>
        <w:t xml:space="preserve"> </w:t>
      </w:r>
      <w:r>
        <w:rPr>
          <w:rFonts w:hint="default"/>
          <w:b/>
          <w:bCs/>
          <w:lang w:val="en-US"/>
        </w:rPr>
        <w:t>B-45,Near Canara Bank,Shalimar Bagh,Delhi-110088.</w:t>
      </w:r>
    </w:p>
    <w:p>
      <w:pPr>
        <w:pStyle w:val="6"/>
      </w:pPr>
    </w:p>
    <w:p>
      <w:pPr>
        <w:pStyle w:val="6"/>
        <w:numPr>
          <w:ilvl w:val="0"/>
          <w:numId w:val="2"/>
        </w:numPr>
        <w:rPr>
          <w:b/>
        </w:rPr>
      </w:pPr>
      <w:r>
        <w:rPr>
          <w:b/>
        </w:rPr>
        <w:t>THE SERVICES:</w:t>
      </w:r>
    </w:p>
    <w:p>
      <w:pPr>
        <w:pStyle w:val="6"/>
        <w:numPr>
          <w:ilvl w:val="1"/>
          <w:numId w:val="2"/>
        </w:numPr>
      </w:pPr>
      <w:r>
        <w:t xml:space="preserve">The Second Party shall provide </w:t>
      </w:r>
      <w:r>
        <w:rPr>
          <w:lang w:val="en-US"/>
        </w:rPr>
        <w:t>Laundry</w:t>
      </w:r>
      <w:r>
        <w:t xml:space="preserve"> Services subject to the </w:t>
      </w:r>
      <w:r>
        <w:rPr>
          <w:lang w:val="en-US"/>
        </w:rPr>
        <w:t>fulfillment</w:t>
      </w:r>
      <w:r>
        <w:t xml:space="preserve"> of terms &amp; conditions of the relevant statutory laws by the First Party</w:t>
      </w:r>
    </w:p>
    <w:p>
      <w:pPr>
        <w:pStyle w:val="6"/>
        <w:numPr>
          <w:ilvl w:val="1"/>
          <w:numId w:val="2"/>
        </w:numPr>
      </w:pPr>
      <w:r>
        <w:t xml:space="preserve">The staff provided by the Second Party shall be well dressed and trained in their respective areas of work. In addition to this they shall be well behaved and courteous to the staff of the First Party. The First Party shall have the right to seek a replacement for any of the staff of the Second Party as and when the First Party feels necessary. </w:t>
      </w:r>
    </w:p>
    <w:p>
      <w:pPr>
        <w:pStyle w:val="6"/>
        <w:numPr>
          <w:ilvl w:val="1"/>
          <w:numId w:val="2"/>
        </w:numPr>
      </w:pPr>
      <w:r>
        <w:t xml:space="preserve">The Second Party shall be responsible for providing the services to the First Party as per the on call by The First Party subject to the payment of the services as per the approved rates. </w:t>
      </w:r>
    </w:p>
    <w:p>
      <w:pPr>
        <w:pStyle w:val="6"/>
        <w:numPr>
          <w:ilvl w:val="1"/>
          <w:numId w:val="2"/>
        </w:numPr>
      </w:pPr>
      <w:r>
        <w:t xml:space="preserve">It shall be the responsibility of the Second Party to ensure that the </w:t>
      </w:r>
      <w:r>
        <w:rPr>
          <w:lang w:val="en-US"/>
        </w:rPr>
        <w:t>Laundry</w:t>
      </w:r>
      <w:r>
        <w:t xml:space="preserve"> Services performed as per the scope of work. </w:t>
      </w:r>
    </w:p>
    <w:p>
      <w:pPr>
        <w:pStyle w:val="6"/>
      </w:pPr>
    </w:p>
    <w:p>
      <w:pPr>
        <w:pStyle w:val="6"/>
        <w:numPr>
          <w:ilvl w:val="0"/>
          <w:numId w:val="2"/>
        </w:numPr>
        <w:rPr>
          <w:b/>
        </w:rPr>
      </w:pPr>
      <w:r>
        <w:rPr>
          <w:b/>
        </w:rPr>
        <w:t xml:space="preserve">PAYMENT TERMS </w:t>
      </w:r>
    </w:p>
    <w:p>
      <w:pPr>
        <w:pStyle w:val="6"/>
      </w:pPr>
    </w:p>
    <w:p>
      <w:pPr>
        <w:pStyle w:val="6"/>
        <w:numPr>
          <w:ilvl w:val="1"/>
          <w:numId w:val="2"/>
        </w:numPr>
      </w:pPr>
      <w:r>
        <w:t>The Services Provider will raise the monthly bill in the first week of every month and the client will pay the same within 15 days of the bill submission. It is also agreed that Service Provider will pay first month’s salary of the staff deployed at site. Salary from second month onwards will be released by service provider only they get previous month payment from the client.</w:t>
      </w:r>
    </w:p>
    <w:p>
      <w:pPr>
        <w:pStyle w:val="6"/>
        <w:numPr>
          <w:ilvl w:val="1"/>
          <w:numId w:val="2"/>
        </w:numPr>
      </w:pPr>
      <w:r>
        <w:t xml:space="preserve">If The First Party disputes any item billed, The First Party shall, within 15 days of receipt of the second Party’s invoice, notify the second party of the item disputed failing which it shall be deemed that the First Party has accepted the invoice. </w:t>
      </w:r>
    </w:p>
    <w:p>
      <w:pPr>
        <w:pStyle w:val="6"/>
        <w:numPr>
          <w:ilvl w:val="1"/>
          <w:numId w:val="2"/>
        </w:numPr>
      </w:pPr>
      <w:r>
        <w:t>Such as increase (whether retrospective or prospective) in salaries/wages along with consequential increase in other statutory payments etc. will become payable by The First Party to the Second Party subject to written confirmation from the first party</w:t>
      </w:r>
    </w:p>
    <w:p>
      <w:pPr>
        <w:pStyle w:val="6"/>
        <w:numPr>
          <w:ilvl w:val="1"/>
          <w:numId w:val="2"/>
        </w:numPr>
      </w:pPr>
      <w:r>
        <w:rPr>
          <w:rFonts w:hint="default"/>
          <w:lang w:val="en-US"/>
        </w:rPr>
        <w:t xml:space="preserve">The term of this Agreement shall be commencing from 05/08/2020 and termination 04/08/2021 and the Agreement thereafter may be renewed  for such further period and on such terms  and condition as may be mutually decided by the parties. </w:t>
      </w: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contextualSpacing/>
      </w:pPr>
    </w:p>
    <w:p>
      <w:pPr>
        <w:pStyle w:val="6"/>
        <w:numPr>
          <w:ilvl w:val="0"/>
          <w:numId w:val="0"/>
        </w:numPr>
        <w:spacing w:after="200" w:line="276" w:lineRule="auto"/>
        <w:ind w:left="5040" w:leftChars="0" w:right="-873" w:rightChars="-397" w:firstLine="720" w:firstLineChars="0"/>
        <w:contextualSpacing/>
        <w:rPr>
          <w:rFonts w:hint="default"/>
          <w:b/>
          <w:bCs/>
          <w:sz w:val="24"/>
          <w:szCs w:val="24"/>
        </w:rPr>
      </w:pPr>
    </w:p>
    <w:p>
      <w:pPr>
        <w:pStyle w:val="6"/>
        <w:numPr>
          <w:ilvl w:val="0"/>
          <w:numId w:val="0"/>
        </w:numPr>
        <w:spacing w:after="200" w:line="276" w:lineRule="auto"/>
        <w:ind w:left="5040" w:leftChars="0" w:right="-873" w:rightChars="-397" w:firstLine="720" w:firstLineChars="0"/>
        <w:contextualSpacing/>
        <w:rPr>
          <w:rFonts w:hint="default"/>
          <w:b/>
          <w:bCs/>
          <w:sz w:val="24"/>
          <w:szCs w:val="24"/>
        </w:rPr>
      </w:pPr>
    </w:p>
    <w:p>
      <w:pPr>
        <w:pStyle w:val="6"/>
        <w:numPr>
          <w:ilvl w:val="0"/>
          <w:numId w:val="0"/>
        </w:numPr>
        <w:spacing w:after="200" w:line="276" w:lineRule="auto"/>
        <w:ind w:left="5040" w:leftChars="0" w:right="-873" w:rightChars="-397" w:firstLine="720" w:firstLineChars="0"/>
        <w:contextualSpacing/>
        <w:rPr>
          <w:rFonts w:hint="default"/>
          <w:b/>
          <w:bCs/>
          <w:sz w:val="24"/>
          <w:szCs w:val="24"/>
        </w:rPr>
      </w:pPr>
      <w:bookmarkStart w:id="0" w:name="_GoBack"/>
      <w:bookmarkEnd w:id="0"/>
    </w:p>
    <w:p>
      <w:pPr>
        <w:pStyle w:val="6"/>
        <w:numPr>
          <w:ilvl w:val="0"/>
          <w:numId w:val="0"/>
        </w:numPr>
        <w:spacing w:after="200" w:line="276" w:lineRule="auto"/>
        <w:ind w:left="5040" w:leftChars="0" w:right="-873" w:rightChars="-397" w:firstLine="720" w:firstLineChars="0"/>
        <w:contextualSpacing/>
        <w:rPr>
          <w:rFonts w:hint="default"/>
          <w:b/>
          <w:bCs/>
          <w:sz w:val="24"/>
          <w:szCs w:val="24"/>
        </w:rPr>
      </w:pPr>
      <w:r>
        <w:rPr>
          <w:rFonts w:hint="default"/>
          <w:b/>
          <w:bCs/>
          <w:sz w:val="24"/>
          <w:szCs w:val="24"/>
        </w:rPr>
        <w:t xml:space="preserve">M/S </w:t>
      </w:r>
      <w:r>
        <w:rPr>
          <w:rFonts w:hint="default"/>
          <w:b/>
          <w:bCs/>
          <w:sz w:val="24"/>
          <w:szCs w:val="24"/>
          <w:lang w:val="en-US"/>
        </w:rPr>
        <w:t>Sandhyashi Neuro Panchkarma</w:t>
      </w:r>
    </w:p>
    <w:p>
      <w:pPr>
        <w:pStyle w:val="6"/>
        <w:numPr>
          <w:ilvl w:val="0"/>
          <w:numId w:val="0"/>
        </w:numPr>
        <w:spacing w:after="200" w:line="276" w:lineRule="auto"/>
        <w:ind w:left="5040" w:leftChars="0" w:firstLine="720" w:firstLineChars="0"/>
        <w:contextualSpacing/>
        <w:rPr>
          <w:rFonts w:hint="default"/>
          <w:b/>
          <w:bCs/>
          <w:sz w:val="24"/>
          <w:szCs w:val="24"/>
        </w:rPr>
      </w:pPr>
      <w:r>
        <w:rPr>
          <w:rFonts w:hint="default"/>
          <w:b/>
          <w:bCs/>
          <w:sz w:val="24"/>
          <w:szCs w:val="24"/>
        </w:rPr>
        <w:t>(The First Party)</w:t>
      </w:r>
    </w:p>
    <w:p>
      <w:pPr>
        <w:pStyle w:val="6"/>
        <w:numPr>
          <w:ilvl w:val="0"/>
          <w:numId w:val="0"/>
        </w:numPr>
        <w:spacing w:after="200" w:line="276" w:lineRule="auto"/>
        <w:ind w:left="8600" w:leftChars="0" w:firstLine="0" w:firstLineChars="0"/>
        <w:contextualSpacing/>
        <w:rPr>
          <w:rFonts w:hint="default"/>
          <w:b/>
          <w:bCs/>
          <w:sz w:val="28"/>
          <w:szCs w:val="28"/>
        </w:rPr>
      </w:pPr>
    </w:p>
    <w:p>
      <w:pPr>
        <w:pStyle w:val="6"/>
        <w:numPr>
          <w:ilvl w:val="0"/>
          <w:numId w:val="0"/>
        </w:numPr>
        <w:spacing w:after="200" w:line="276" w:lineRule="auto"/>
        <w:ind w:left="5040" w:leftChars="0" w:firstLine="720" w:firstLineChars="0"/>
        <w:contextualSpacing/>
        <w:rPr>
          <w:rFonts w:hint="default"/>
          <w:b/>
          <w:bCs/>
          <w:sz w:val="22"/>
          <w:szCs w:val="22"/>
          <w:lang w:val="en-US"/>
        </w:rPr>
      </w:pPr>
      <w:r>
        <w:rPr>
          <w:rFonts w:hint="default"/>
          <w:b/>
          <w:bCs/>
          <w:sz w:val="22"/>
          <w:szCs w:val="22"/>
        </w:rPr>
        <w:t>By:</w:t>
      </w:r>
      <w:r>
        <w:rPr>
          <w:rFonts w:hint="default"/>
          <w:b/>
          <w:bCs/>
          <w:sz w:val="22"/>
          <w:szCs w:val="22"/>
          <w:lang w:val="en-US"/>
        </w:rPr>
        <w:t>_________________________</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 xml:space="preserve">Name </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Title :</w:t>
      </w:r>
    </w:p>
    <w:p>
      <w:pPr>
        <w:pStyle w:val="6"/>
        <w:numPr>
          <w:ilvl w:val="0"/>
          <w:numId w:val="0"/>
        </w:numPr>
        <w:spacing w:after="200" w:line="276" w:lineRule="auto"/>
        <w:contextualSpacing/>
        <w:rPr>
          <w:rFonts w:hint="default"/>
          <w:b/>
          <w:bCs/>
          <w:sz w:val="32"/>
          <w:szCs w:val="32"/>
          <w:lang w:val="en-US"/>
        </w:rPr>
      </w:pPr>
      <w:r>
        <w:rPr>
          <w:rFonts w:hint="default"/>
          <w:b/>
          <w:bCs/>
          <w:sz w:val="32"/>
          <w:szCs w:val="32"/>
          <w:lang w:val="en-US"/>
        </w:rPr>
        <w:t xml:space="preserve"> </w:t>
      </w:r>
    </w:p>
    <w:p>
      <w:pPr>
        <w:pStyle w:val="6"/>
        <w:numPr>
          <w:ilvl w:val="0"/>
          <w:numId w:val="0"/>
        </w:numPr>
        <w:spacing w:after="200" w:line="276" w:lineRule="auto"/>
        <w:ind w:left="5760" w:leftChars="0" w:firstLine="720" w:firstLineChars="0"/>
        <w:contextualSpacing/>
        <w:rPr>
          <w:b/>
          <w:bCs/>
          <w:sz w:val="32"/>
          <w:szCs w:val="32"/>
        </w:rPr>
      </w:pPr>
      <w:r>
        <w:rPr>
          <w:sz w:val="24"/>
        </w:rPr>
        <mc:AlternateContent>
          <mc:Choice Requires="wps">
            <w:drawing>
              <wp:anchor distT="0" distB="0" distL="114300" distR="114300" simplePos="0" relativeHeight="251659264" behindDoc="0" locked="0" layoutInCell="1" allowOverlap="1">
                <wp:simplePos x="0" y="0"/>
                <wp:positionH relativeFrom="column">
                  <wp:posOffset>-725170</wp:posOffset>
                </wp:positionH>
                <wp:positionV relativeFrom="paragraph">
                  <wp:posOffset>31115</wp:posOffset>
                </wp:positionV>
                <wp:extent cx="2857500" cy="3048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lang w:val="en-US"/>
                              </w:rPr>
                            </w:pPr>
                            <w:r>
                              <w:rPr>
                                <w:rFonts w:hint="default"/>
                                <w:b/>
                                <w:bCs/>
                                <w:lang w:val="en-US"/>
                              </w:rPr>
                              <w:t>Witness :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1pt;margin-top:2.45pt;height:24pt;width:225pt;z-index:251659264;mso-width-relative:page;mso-height-relative:page;" filled="f" stroked="f" coordsize="21600,21600" o:gfxdata="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qDfNY9sAAAAJAQAADwAAAAAAAAABACAAAAAiAAAAZHJzL2Rvd25yZXYueG1sUEsB&#10;AhQAFAAAAAgAh07iQEU3s9ArAgAAZwQAAA4AAAAAAAAAAQAgAAAAKgEAAGRycy9lMm9Eb2MueG1s&#10;UEsFBgAAAAAGAAYAWQEAAMcFAAAAAA==&#10;">
                <v:fill on="f" focussize="0,0"/>
                <v:stroke on="f" weight="0.5pt"/>
                <v:imagedata o:title=""/>
                <o:lock v:ext="edit" aspectratio="f"/>
                <v:textbox>
                  <w:txbxContent>
                    <w:p>
                      <w:pPr>
                        <w:rPr>
                          <w:rFonts w:hint="default"/>
                          <w:b/>
                          <w:bCs/>
                          <w:lang w:val="en-US"/>
                        </w:rPr>
                      </w:pPr>
                      <w:r>
                        <w:rPr>
                          <w:rFonts w:hint="default"/>
                          <w:b/>
                          <w:bCs/>
                          <w:lang w:val="en-US"/>
                        </w:rPr>
                        <w:t>Witness : 1</w:t>
                      </w:r>
                    </w:p>
                  </w:txbxContent>
                </v:textbox>
              </v:shape>
            </w:pict>
          </mc:Fallback>
        </mc:AlternateContent>
      </w:r>
    </w:p>
    <w:p>
      <w:pPr>
        <w:pStyle w:val="6"/>
        <w:numPr>
          <w:ilvl w:val="0"/>
          <w:numId w:val="0"/>
        </w:numPr>
        <w:spacing w:after="200" w:line="276" w:lineRule="auto"/>
        <w:ind w:left="5760" w:leftChars="0" w:firstLine="720" w:firstLineChars="0"/>
        <w:contextualSpacing/>
        <w:rPr>
          <w:b/>
          <w:bCs/>
          <w:sz w:val="32"/>
          <w:szCs w:val="32"/>
        </w:rPr>
      </w:pPr>
    </w:p>
    <w:p>
      <w:pPr>
        <w:pStyle w:val="6"/>
        <w:numPr>
          <w:ilvl w:val="0"/>
          <w:numId w:val="0"/>
        </w:numPr>
        <w:spacing w:after="200" w:line="276" w:lineRule="auto"/>
        <w:ind w:left="5760" w:leftChars="0" w:firstLine="720" w:firstLineChars="0"/>
        <w:contextualSpacing/>
        <w:rPr>
          <w:b/>
          <w:bCs/>
          <w:sz w:val="32"/>
          <w:szCs w:val="32"/>
        </w:rPr>
      </w:pPr>
    </w:p>
    <w:p>
      <w:pPr>
        <w:pStyle w:val="6"/>
        <w:numPr>
          <w:ilvl w:val="0"/>
          <w:numId w:val="0"/>
        </w:numPr>
        <w:spacing w:after="200" w:line="276" w:lineRule="auto"/>
        <w:ind w:left="5040" w:leftChars="0" w:firstLine="720" w:firstLineChars="0"/>
        <w:contextualSpacing/>
        <w:rPr>
          <w:rFonts w:hint="default"/>
          <w:b/>
          <w:bCs/>
          <w:lang w:val="en-US"/>
        </w:rPr>
      </w:pPr>
      <w:r>
        <w:rPr>
          <w:rFonts w:hint="default"/>
          <w:lang w:val="en-US"/>
        </w:rPr>
        <w:t xml:space="preserve"> </w:t>
      </w:r>
      <w:r>
        <w:rPr>
          <w:rFonts w:hint="default"/>
          <w:b/>
          <w:bCs/>
          <w:sz w:val="24"/>
          <w:szCs w:val="24"/>
          <w:lang w:val="en-US"/>
        </w:rPr>
        <w:t xml:space="preserve">M/S </w:t>
      </w:r>
      <w:r>
        <w:rPr>
          <w:rFonts w:hint="default"/>
          <w:b/>
          <w:bCs/>
          <w:lang w:val="en-US"/>
        </w:rPr>
        <w:t xml:space="preserve"> </w:t>
      </w:r>
      <w:r>
        <w:rPr>
          <w:rFonts w:hint="default"/>
          <w:b/>
          <w:bCs/>
          <w:sz w:val="24"/>
          <w:szCs w:val="24"/>
          <w:lang w:val="en-US"/>
        </w:rPr>
        <w:t>Sapna Dry Cleans</w:t>
      </w:r>
    </w:p>
    <w:p>
      <w:pPr>
        <w:pStyle w:val="6"/>
        <w:numPr>
          <w:ilvl w:val="0"/>
          <w:numId w:val="0"/>
        </w:numPr>
        <w:spacing w:after="200" w:line="276" w:lineRule="auto"/>
        <w:ind w:left="5040" w:leftChars="0" w:firstLine="720" w:firstLineChars="0"/>
        <w:contextualSpacing/>
        <w:rPr>
          <w:rFonts w:hint="default"/>
          <w:b/>
          <w:bCs/>
          <w:lang w:val="en-US"/>
        </w:rPr>
      </w:pPr>
    </w:p>
    <w:p>
      <w:pPr>
        <w:pStyle w:val="6"/>
        <w:numPr>
          <w:ilvl w:val="0"/>
          <w:numId w:val="0"/>
        </w:numPr>
        <w:spacing w:after="200" w:line="276" w:lineRule="auto"/>
        <w:ind w:left="5040" w:leftChars="0" w:firstLine="720" w:firstLineChars="0"/>
        <w:contextualSpacing/>
        <w:rPr>
          <w:rFonts w:hint="default"/>
          <w:b/>
          <w:bCs/>
          <w:sz w:val="28"/>
          <w:szCs w:val="28"/>
        </w:rPr>
      </w:pPr>
      <w:r>
        <w:rPr>
          <w:rFonts w:hint="default"/>
          <w:b/>
          <w:bCs/>
          <w:sz w:val="24"/>
          <w:szCs w:val="24"/>
        </w:rPr>
        <w:t>(The Second Party)</w:t>
      </w:r>
    </w:p>
    <w:p>
      <w:pPr>
        <w:pStyle w:val="6"/>
        <w:numPr>
          <w:ilvl w:val="0"/>
          <w:numId w:val="0"/>
        </w:numPr>
        <w:spacing w:after="200" w:line="276" w:lineRule="auto"/>
        <w:ind w:left="5040" w:leftChars="0" w:firstLine="720" w:firstLineChars="0"/>
        <w:contextualSpacing/>
        <w:rPr>
          <w:rFonts w:hint="default"/>
          <w:b/>
          <w:bCs/>
          <w:sz w:val="22"/>
          <w:szCs w:val="22"/>
          <w:lang w:val="en-US"/>
        </w:rPr>
      </w:pPr>
      <w:r>
        <w:rPr>
          <w:rFonts w:hint="default"/>
          <w:b/>
          <w:bCs/>
          <w:sz w:val="22"/>
          <w:szCs w:val="22"/>
        </w:rPr>
        <w:t>By:</w:t>
      </w:r>
      <w:r>
        <w:rPr>
          <w:rFonts w:hint="default"/>
          <w:b/>
          <w:bCs/>
          <w:sz w:val="22"/>
          <w:szCs w:val="22"/>
          <w:lang w:val="en-US"/>
        </w:rPr>
        <w:t>___________________________</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 xml:space="preserve">Name </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Title :</w:t>
      </w:r>
    </w:p>
    <w:p>
      <w:pPr>
        <w:pStyle w:val="6"/>
        <w:numPr>
          <w:ilvl w:val="0"/>
          <w:numId w:val="0"/>
        </w:numPr>
        <w:spacing w:after="200" w:line="276" w:lineRule="auto"/>
        <w:ind w:left="5760" w:leftChars="0" w:firstLine="720" w:firstLineChars="0"/>
        <w:contextualSpacing/>
        <w:rPr>
          <w:b/>
          <w:bCs/>
          <w:sz w:val="32"/>
          <w:szCs w:val="32"/>
        </w:rPr>
      </w:pPr>
      <w:r>
        <w:rPr>
          <w:sz w:val="24"/>
        </w:rPr>
        <mc:AlternateContent>
          <mc:Choice Requires="wps">
            <w:drawing>
              <wp:anchor distT="0" distB="0" distL="114300" distR="114300" simplePos="0" relativeHeight="251660288" behindDoc="0" locked="0" layoutInCell="1" allowOverlap="1">
                <wp:simplePos x="0" y="0"/>
                <wp:positionH relativeFrom="column">
                  <wp:posOffset>-580390</wp:posOffset>
                </wp:positionH>
                <wp:positionV relativeFrom="paragraph">
                  <wp:posOffset>614680</wp:posOffset>
                </wp:positionV>
                <wp:extent cx="2857500" cy="304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lang w:val="en-US"/>
                              </w:rPr>
                            </w:pPr>
                            <w:r>
                              <w:rPr>
                                <w:rFonts w:hint="default"/>
                                <w:b/>
                                <w:bCs/>
                                <w:lang w:val="en-US"/>
                              </w:rPr>
                              <w:t>Witness :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7pt;margin-top:48.4pt;height:24pt;width:225pt;z-index:251660288;mso-width-relative:page;mso-height-relative:page;" filled="f" stroked="f" coordsize="21600,21600" o:gfxdata="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0PSt82wAAAAoBAAAPAAAAAAAAAAEAIAAAACIAAABkcnMvZG93bnJldi54bWxQSwEC&#10;FAAUAAAACACHTuJAuYTcqSoCAABlBAAADgAAAAAAAAABACAAAAAqAQAAZHJzL2Uyb0RvYy54bWxQ&#10;SwUGAAAAAAYABgBZAQAAxgUAAAAA&#10;">
                <v:fill on="f" focussize="0,0"/>
                <v:stroke on="f" weight="0.5pt"/>
                <v:imagedata o:title=""/>
                <o:lock v:ext="edit" aspectratio="f"/>
                <v:textbox>
                  <w:txbxContent>
                    <w:p>
                      <w:pPr>
                        <w:rPr>
                          <w:rFonts w:hint="default"/>
                          <w:b/>
                          <w:bCs/>
                          <w:lang w:val="en-US"/>
                        </w:rPr>
                      </w:pPr>
                      <w:r>
                        <w:rPr>
                          <w:rFonts w:hint="default"/>
                          <w:b/>
                          <w:bCs/>
                          <w:lang w:val="en-US"/>
                        </w:rPr>
                        <w:t>Witness : 2</w:t>
                      </w:r>
                    </w:p>
                  </w:txbxContent>
                </v:textbox>
              </v:shape>
            </w:pict>
          </mc:Fallback>
        </mc:AlternateContent>
      </w:r>
    </w:p>
    <w:sectPr>
      <w:pgSz w:w="11906" w:h="16838"/>
      <w:pgMar w:top="560" w:right="1440" w:bottom="658"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E430AC"/>
    <w:multiLevelType w:val="multilevel"/>
    <w:tmpl w:val="44E430AC"/>
    <w:lvl w:ilvl="0" w:tentative="0">
      <w:start w:val="1"/>
      <w:numFmt w:val="decimal"/>
      <w:lvlText w:val="%1."/>
      <w:lvlJc w:val="left"/>
      <w:pPr>
        <w:ind w:left="720" w:hanging="360"/>
      </w:pPr>
      <w:rPr>
        <w:rFonts w:hint="default"/>
      </w:rPr>
    </w:lvl>
    <w:lvl w:ilvl="1" w:tentative="0">
      <w:start w:val="1"/>
      <w:numFmt w:val="decimal"/>
      <w:isLgl/>
      <w:lvlText w:val="%1.%2"/>
      <w:lvlJc w:val="left"/>
      <w:pPr>
        <w:ind w:left="1080" w:hanging="360"/>
      </w:pPr>
      <w:rPr>
        <w:rFonts w:hint="default"/>
        <w:b/>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160" w:hanging="72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240" w:hanging="108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320" w:hanging="1440"/>
      </w:pPr>
      <w:rPr>
        <w:rFonts w:hint="default"/>
      </w:rPr>
    </w:lvl>
    <w:lvl w:ilvl="8" w:tentative="0">
      <w:start w:val="1"/>
      <w:numFmt w:val="decimal"/>
      <w:isLgl/>
      <w:lvlText w:val="%1.%2.%3.%4.%5.%6.%7.%8.%9"/>
      <w:lvlJc w:val="left"/>
      <w:pPr>
        <w:ind w:left="4680" w:hanging="1440"/>
      </w:pPr>
      <w:rPr>
        <w:rFonts w:hint="default"/>
      </w:rPr>
    </w:lvl>
  </w:abstractNum>
  <w:abstractNum w:abstractNumId="1">
    <w:nsid w:val="57FB06FE"/>
    <w:multiLevelType w:val="multilevel"/>
    <w:tmpl w:val="57FB06FE"/>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9DF"/>
    <w:rsid w:val="0006536E"/>
    <w:rsid w:val="000B1BD1"/>
    <w:rsid w:val="000E7865"/>
    <w:rsid w:val="001D3FC5"/>
    <w:rsid w:val="00256E1F"/>
    <w:rsid w:val="002E3595"/>
    <w:rsid w:val="00412B9C"/>
    <w:rsid w:val="004672D7"/>
    <w:rsid w:val="0063776D"/>
    <w:rsid w:val="009A2D05"/>
    <w:rsid w:val="009A39DF"/>
    <w:rsid w:val="00A44A6A"/>
    <w:rsid w:val="00A84252"/>
    <w:rsid w:val="00C83ED3"/>
    <w:rsid w:val="00D87E76"/>
    <w:rsid w:val="00DE2223"/>
    <w:rsid w:val="00E175C6"/>
    <w:rsid w:val="00EF1D26"/>
    <w:rsid w:val="00F438CA"/>
    <w:rsid w:val="02403FB8"/>
    <w:rsid w:val="02AD4663"/>
    <w:rsid w:val="03DC6055"/>
    <w:rsid w:val="07BC44C1"/>
    <w:rsid w:val="0BA156FA"/>
    <w:rsid w:val="0D154F09"/>
    <w:rsid w:val="0DFC13B3"/>
    <w:rsid w:val="0E4C4D6F"/>
    <w:rsid w:val="1192109B"/>
    <w:rsid w:val="136D5F32"/>
    <w:rsid w:val="137D0F09"/>
    <w:rsid w:val="141252CE"/>
    <w:rsid w:val="163728DC"/>
    <w:rsid w:val="18FB2AA4"/>
    <w:rsid w:val="1AE950DA"/>
    <w:rsid w:val="1C472412"/>
    <w:rsid w:val="1CDB196E"/>
    <w:rsid w:val="1CDB7DA9"/>
    <w:rsid w:val="1E913D89"/>
    <w:rsid w:val="1FC10D3F"/>
    <w:rsid w:val="2068259A"/>
    <w:rsid w:val="211B3B4B"/>
    <w:rsid w:val="21943D1A"/>
    <w:rsid w:val="22171973"/>
    <w:rsid w:val="22FE584D"/>
    <w:rsid w:val="23845D47"/>
    <w:rsid w:val="25EE5224"/>
    <w:rsid w:val="26112F7C"/>
    <w:rsid w:val="287452AB"/>
    <w:rsid w:val="28A02A2F"/>
    <w:rsid w:val="2DF723F3"/>
    <w:rsid w:val="2F527EA2"/>
    <w:rsid w:val="2FA91B8C"/>
    <w:rsid w:val="30675A29"/>
    <w:rsid w:val="30B4221C"/>
    <w:rsid w:val="31140ADF"/>
    <w:rsid w:val="31FD67B1"/>
    <w:rsid w:val="32893E09"/>
    <w:rsid w:val="336C12F0"/>
    <w:rsid w:val="35723C9A"/>
    <w:rsid w:val="37723DF8"/>
    <w:rsid w:val="38990520"/>
    <w:rsid w:val="3A4E4DA4"/>
    <w:rsid w:val="3CE06154"/>
    <w:rsid w:val="40877CA6"/>
    <w:rsid w:val="41F244F6"/>
    <w:rsid w:val="48B64972"/>
    <w:rsid w:val="495D7704"/>
    <w:rsid w:val="4A5641FD"/>
    <w:rsid w:val="4BFF7FFB"/>
    <w:rsid w:val="4CAC65B8"/>
    <w:rsid w:val="516D39C9"/>
    <w:rsid w:val="51EB4D2C"/>
    <w:rsid w:val="531F6F0E"/>
    <w:rsid w:val="54A06245"/>
    <w:rsid w:val="592C059A"/>
    <w:rsid w:val="59BF13BE"/>
    <w:rsid w:val="59E372C9"/>
    <w:rsid w:val="5CB71DDA"/>
    <w:rsid w:val="5D6D3766"/>
    <w:rsid w:val="5E7B1EE3"/>
    <w:rsid w:val="63320F98"/>
    <w:rsid w:val="66212BB7"/>
    <w:rsid w:val="6661669F"/>
    <w:rsid w:val="675844CC"/>
    <w:rsid w:val="682241ED"/>
    <w:rsid w:val="68C65CB5"/>
    <w:rsid w:val="69CE2332"/>
    <w:rsid w:val="702A07DC"/>
    <w:rsid w:val="72B136A8"/>
    <w:rsid w:val="73E21828"/>
    <w:rsid w:val="757C282F"/>
    <w:rsid w:val="76AF0344"/>
    <w:rsid w:val="77D047DF"/>
    <w:rsid w:val="789C737C"/>
    <w:rsid w:val="79BF4B17"/>
    <w:rsid w:val="7BA55C06"/>
    <w:rsid w:val="7BF67BE4"/>
    <w:rsid w:val="7C840D53"/>
    <w:rsid w:val="7D1D0672"/>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semiHidden/>
    <w:unhideWhenUsed/>
    <w:uiPriority w:val="99"/>
    <w:rPr>
      <w:color w:val="0000FF"/>
      <w:u w:val="single"/>
    </w:rPr>
  </w:style>
  <w:style w:type="table" w:styleId="5">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686</Words>
  <Characters>3395</Characters>
  <Lines>28</Lines>
  <Paragraphs>7</Paragraphs>
  <TotalTime>1</TotalTime>
  <ScaleCrop>false</ScaleCrop>
  <LinksUpToDate>false</LinksUpToDate>
  <CharactersWithSpaces>4035</CharactersWithSpaces>
  <Application>WPS Office_11.2.0.10265_F1E327BC-269C-435d-A152-05C5408002CA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2020-10-20T05:33:00Z</dcterms:created>
  <dc:creator>ABC</dc:creator>
  <cp:lastModifiedBy>google1557912228</cp:lastModifiedBy>
  <dcterms:modified xsi:type="dcterms:W3CDTF">2021-08-29T04:00:02Z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1033-11.2.0.10265</vt:lpwstr>
  </property>
  <property fmtid="{D5CDD505-2E9C-101B-9397-08002B2CF9AE}" pid="3" name="ICV">
    <vt:lpwstr>A7A4FB54E9DD47878538A6EB44A505D6</vt:lpwstr>
  </property>
</Properties>
</file>